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8B" w:rsidRDefault="00A73AA7">
      <w:pPr>
        <w:pStyle w:val="2"/>
        <w:jc w:val="center"/>
        <w:rPr>
          <w:color w:val="auto"/>
        </w:rPr>
      </w:pPr>
      <w:r>
        <w:rPr>
          <w:color w:val="auto"/>
        </w:rPr>
        <w:t>Аналитическая справка</w:t>
      </w:r>
    </w:p>
    <w:p w:rsidR="00092D8B" w:rsidRDefault="00A73AA7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bookmarkStart w:id="0" w:name="bookmark0"/>
      <w:r>
        <w:rPr>
          <w:color w:val="auto"/>
          <w:sz w:val="28"/>
          <w:szCs w:val="28"/>
        </w:rPr>
        <w:t xml:space="preserve">по итогам окончания </w:t>
      </w:r>
      <w:r w:rsidR="00BE4AC7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четверти 202</w:t>
      </w:r>
      <w:r w:rsidR="001B522E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-202</w:t>
      </w:r>
      <w:r w:rsidR="001B522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учебного года </w:t>
      </w:r>
      <w:bookmarkEnd w:id="0"/>
    </w:p>
    <w:p w:rsidR="00092D8B" w:rsidRDefault="00092D8B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092D8B" w:rsidRDefault="00A73AA7">
      <w:pPr>
        <w:pStyle w:val="24"/>
        <w:shd w:val="clear" w:color="auto" w:fill="auto"/>
        <w:spacing w:line="240" w:lineRule="auto"/>
        <w:ind w:left="100" w:right="20"/>
        <w:rPr>
          <w:sz w:val="10"/>
          <w:szCs w:val="10"/>
        </w:rPr>
      </w:pPr>
      <w:r>
        <w:rPr>
          <w:sz w:val="28"/>
          <w:szCs w:val="28"/>
        </w:rPr>
        <w:t xml:space="preserve">               </w:t>
      </w:r>
    </w:p>
    <w:p w:rsidR="00092D8B" w:rsidRDefault="00A73AA7">
      <w:pPr>
        <w:pStyle w:val="2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начало года  в  школе  обу</w:t>
      </w:r>
      <w:r w:rsidR="001B522E">
        <w:rPr>
          <w:sz w:val="28"/>
          <w:szCs w:val="28"/>
        </w:rPr>
        <w:t xml:space="preserve">чалось - 732 человек. На конец </w:t>
      </w:r>
      <w:r w:rsidR="009E28EF">
        <w:rPr>
          <w:sz w:val="28"/>
          <w:szCs w:val="28"/>
        </w:rPr>
        <w:t>2 четверти – 706, аттестовано 629</w:t>
      </w:r>
      <w:r>
        <w:rPr>
          <w:sz w:val="28"/>
          <w:szCs w:val="28"/>
        </w:rPr>
        <w:t xml:space="preserve"> обучающихся (1 классы без аттестации – </w:t>
      </w:r>
      <w:r w:rsidR="009E28EF">
        <w:rPr>
          <w:sz w:val="28"/>
          <w:szCs w:val="28"/>
        </w:rPr>
        <w:t>77</w:t>
      </w:r>
      <w:r>
        <w:rPr>
          <w:sz w:val="28"/>
          <w:szCs w:val="28"/>
        </w:rPr>
        <w:t xml:space="preserve"> человек).</w:t>
      </w:r>
    </w:p>
    <w:p w:rsidR="00092D8B" w:rsidRDefault="00A73AA7">
      <w:pPr>
        <w:pStyle w:val="24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Анализ итогов успеваемости, а также качества обучения, показал следующие результаты обучения: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8"/>
        <w:gridCol w:w="1516"/>
        <w:gridCol w:w="1316"/>
        <w:gridCol w:w="1316"/>
        <w:gridCol w:w="1263"/>
        <w:gridCol w:w="1826"/>
        <w:gridCol w:w="1514"/>
      </w:tblGrid>
      <w:tr w:rsidR="00BE4AC7" w:rsidRPr="00BE4AC7" w:rsidTr="00BE4AC7">
        <w:trPr>
          <w:trHeight w:val="930"/>
        </w:trPr>
        <w:tc>
          <w:tcPr>
            <w:tcW w:w="7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73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Количество учащихся 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Успевают  только на "5"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Успевают на "4" и "5"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Не успевают </w:t>
            </w:r>
          </w:p>
        </w:tc>
        <w:tc>
          <w:tcPr>
            <w:tcW w:w="8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Успеваемость, %</w:t>
            </w:r>
          </w:p>
        </w:tc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Качество,%</w:t>
            </w:r>
          </w:p>
        </w:tc>
      </w:tr>
      <w:tr w:rsidR="00BE4AC7" w:rsidRPr="00BE4AC7" w:rsidTr="00BE4AC7">
        <w:trPr>
          <w:trHeight w:val="315"/>
        </w:trPr>
        <w:tc>
          <w:tcPr>
            <w:tcW w:w="7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2кл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3кл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61,9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225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45,6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92,9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84,1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87,1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35,4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BE4AC7" w:rsidRPr="00BE4AC7" w:rsidTr="00BE4AC7">
        <w:trPr>
          <w:trHeight w:val="420"/>
        </w:trPr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BE4AC7" w:rsidRPr="00BE4AC7" w:rsidTr="00BE4AC7">
        <w:trPr>
          <w:trHeight w:val="600"/>
        </w:trPr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62,5</w:t>
            </w:r>
          </w:p>
        </w:tc>
      </w:tr>
      <w:tr w:rsidR="00BE4AC7" w:rsidRPr="00BE4AC7" w:rsidTr="00BE4AC7">
        <w:trPr>
          <w:trHeight w:val="630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 xml:space="preserve">Итого              2-11 </w:t>
            </w:r>
            <w:proofErr w:type="spellStart"/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кл</w:t>
            </w:r>
            <w:proofErr w:type="spellEnd"/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629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236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AC7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E4AC7" w:rsidRPr="00BE4AC7" w:rsidRDefault="00BE4AC7" w:rsidP="00BE4A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4AC7">
              <w:rPr>
                <w:rFonts w:ascii="Times New Roman" w:eastAsia="Times New Roman" w:hAnsi="Times New Roman" w:cs="Times New Roman"/>
              </w:rPr>
              <w:t>48,6</w:t>
            </w:r>
          </w:p>
        </w:tc>
      </w:tr>
    </w:tbl>
    <w:p w:rsidR="00092D8B" w:rsidRDefault="00A73AA7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 можно сделать вывод  о том, что наивысший результат показали 2-4 и 5, 10-</w:t>
      </w:r>
      <w:r w:rsidR="009E28EF">
        <w:rPr>
          <w:sz w:val="28"/>
          <w:szCs w:val="28"/>
        </w:rPr>
        <w:t xml:space="preserve">11 классы. По итогам </w:t>
      </w:r>
      <w:r w:rsidR="00BE4AC7">
        <w:rPr>
          <w:sz w:val="28"/>
          <w:szCs w:val="28"/>
        </w:rPr>
        <w:t xml:space="preserve">3 </w:t>
      </w:r>
      <w:r w:rsidR="009E28EF">
        <w:rPr>
          <w:sz w:val="28"/>
          <w:szCs w:val="28"/>
        </w:rPr>
        <w:t xml:space="preserve">четверти </w:t>
      </w:r>
      <w:r w:rsidR="00BE4AC7">
        <w:rPr>
          <w:sz w:val="28"/>
          <w:szCs w:val="28"/>
        </w:rPr>
        <w:t>70</w:t>
      </w:r>
      <w:r>
        <w:rPr>
          <w:sz w:val="28"/>
          <w:szCs w:val="28"/>
        </w:rPr>
        <w:t xml:space="preserve"> обуч</w:t>
      </w:r>
      <w:r w:rsidR="009E28EF">
        <w:rPr>
          <w:sz w:val="28"/>
          <w:szCs w:val="28"/>
        </w:rPr>
        <w:t>ающийся закончили на отлично, 2</w:t>
      </w:r>
      <w:r w:rsidR="00BE4AC7">
        <w:rPr>
          <w:sz w:val="28"/>
          <w:szCs w:val="28"/>
        </w:rPr>
        <w:t>36</w:t>
      </w:r>
      <w:r>
        <w:rPr>
          <w:sz w:val="28"/>
          <w:szCs w:val="28"/>
        </w:rPr>
        <w:t xml:space="preserve"> на 4 и 5. Возможно увеличение потенциальных </w:t>
      </w:r>
      <w:r w:rsidR="009E28EF">
        <w:rPr>
          <w:sz w:val="28"/>
          <w:szCs w:val="28"/>
        </w:rPr>
        <w:t xml:space="preserve">отличников и хорошистов, т.к. </w:t>
      </w:r>
      <w:r w:rsidR="00BE4AC7">
        <w:rPr>
          <w:sz w:val="28"/>
          <w:szCs w:val="28"/>
        </w:rPr>
        <w:t>19</w:t>
      </w:r>
      <w:r>
        <w:rPr>
          <w:sz w:val="28"/>
          <w:szCs w:val="28"/>
        </w:rPr>
        <w:t xml:space="preserve"> обучающихся имеют всего по одной четверке, с одной «3» 4</w:t>
      </w:r>
      <w:r w:rsidR="00BE4AC7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Высокие результаты качества </w:t>
      </w:r>
      <w:r w:rsidR="009E28EF">
        <w:rPr>
          <w:sz w:val="28"/>
          <w:szCs w:val="28"/>
        </w:rPr>
        <w:t>обучения, свыше 70 % показали</w:t>
      </w:r>
      <w:r w:rsidR="00BE4AC7">
        <w:rPr>
          <w:sz w:val="28"/>
          <w:szCs w:val="28"/>
        </w:rPr>
        <w:t>:</w:t>
      </w:r>
      <w:r w:rsidR="009E28EF">
        <w:rPr>
          <w:sz w:val="28"/>
          <w:szCs w:val="28"/>
        </w:rPr>
        <w:t xml:space="preserve"> </w:t>
      </w:r>
      <w:r w:rsidR="00BE4AC7" w:rsidRPr="00BE4AC7">
        <w:rPr>
          <w:sz w:val="28"/>
          <w:szCs w:val="28"/>
        </w:rPr>
        <w:t>2А  (Сафин И. И.)</w:t>
      </w:r>
      <w:r w:rsidR="00BE4AC7" w:rsidRPr="000530BE">
        <w:rPr>
          <w:sz w:val="28"/>
          <w:szCs w:val="28"/>
        </w:rPr>
        <w:t xml:space="preserve">, </w:t>
      </w:r>
      <w:r w:rsidR="00BE4AC7" w:rsidRPr="00BE4AC7">
        <w:rPr>
          <w:sz w:val="28"/>
          <w:szCs w:val="28"/>
        </w:rPr>
        <w:t>2К  (</w:t>
      </w:r>
      <w:proofErr w:type="spellStart"/>
      <w:r w:rsidR="00BE4AC7" w:rsidRPr="00BE4AC7">
        <w:rPr>
          <w:sz w:val="28"/>
          <w:szCs w:val="28"/>
        </w:rPr>
        <w:t>Копошко</w:t>
      </w:r>
      <w:proofErr w:type="spellEnd"/>
      <w:r w:rsidR="00BE4AC7" w:rsidRPr="00BE4AC7">
        <w:rPr>
          <w:sz w:val="28"/>
          <w:szCs w:val="28"/>
        </w:rPr>
        <w:t xml:space="preserve"> И. С.)</w:t>
      </w:r>
      <w:r w:rsidR="00BE4AC7" w:rsidRPr="000530BE">
        <w:rPr>
          <w:sz w:val="28"/>
          <w:szCs w:val="28"/>
        </w:rPr>
        <w:t xml:space="preserve">, </w:t>
      </w:r>
      <w:r w:rsidR="00BE4AC7" w:rsidRPr="00BE4AC7">
        <w:rPr>
          <w:sz w:val="28"/>
          <w:szCs w:val="28"/>
        </w:rPr>
        <w:t>3Г  (</w:t>
      </w:r>
      <w:proofErr w:type="spellStart"/>
      <w:r w:rsidR="00BE4AC7" w:rsidRPr="00BE4AC7">
        <w:rPr>
          <w:sz w:val="28"/>
          <w:szCs w:val="28"/>
        </w:rPr>
        <w:t>Яруллина</w:t>
      </w:r>
      <w:proofErr w:type="spellEnd"/>
      <w:r w:rsidR="00BE4AC7" w:rsidRPr="00BE4AC7">
        <w:rPr>
          <w:sz w:val="28"/>
          <w:szCs w:val="28"/>
        </w:rPr>
        <w:t xml:space="preserve"> А. Р.)</w:t>
      </w:r>
      <w:r w:rsidR="00BE4AC7" w:rsidRPr="000530BE">
        <w:rPr>
          <w:sz w:val="28"/>
          <w:szCs w:val="28"/>
        </w:rPr>
        <w:t xml:space="preserve">, </w:t>
      </w:r>
      <w:r w:rsidR="00BE4AC7" w:rsidRPr="00BE4AC7">
        <w:rPr>
          <w:sz w:val="28"/>
          <w:szCs w:val="28"/>
        </w:rPr>
        <w:t>5М  (</w:t>
      </w:r>
      <w:proofErr w:type="spellStart"/>
      <w:r w:rsidR="00BE4AC7" w:rsidRPr="00BE4AC7">
        <w:rPr>
          <w:sz w:val="28"/>
          <w:szCs w:val="28"/>
        </w:rPr>
        <w:t>Арзамасова</w:t>
      </w:r>
      <w:proofErr w:type="spellEnd"/>
      <w:r w:rsidR="00BE4AC7" w:rsidRPr="00BE4AC7">
        <w:rPr>
          <w:sz w:val="28"/>
          <w:szCs w:val="28"/>
        </w:rPr>
        <w:t xml:space="preserve"> Т. Д.)</w:t>
      </w:r>
      <w:r w:rsidR="00BE4AC7" w:rsidRPr="000530BE">
        <w:rPr>
          <w:sz w:val="28"/>
          <w:szCs w:val="28"/>
        </w:rPr>
        <w:t xml:space="preserve">, </w:t>
      </w:r>
      <w:r w:rsidR="00BE4AC7" w:rsidRPr="00BE4AC7">
        <w:rPr>
          <w:sz w:val="28"/>
          <w:szCs w:val="28"/>
        </w:rPr>
        <w:t>4В  (</w:t>
      </w:r>
      <w:proofErr w:type="spellStart"/>
      <w:r w:rsidR="00BE4AC7" w:rsidRPr="00BE4AC7">
        <w:rPr>
          <w:sz w:val="28"/>
          <w:szCs w:val="28"/>
        </w:rPr>
        <w:t>Сагандыкова</w:t>
      </w:r>
      <w:proofErr w:type="spellEnd"/>
      <w:r w:rsidR="00BE4AC7" w:rsidRPr="00BE4AC7">
        <w:rPr>
          <w:sz w:val="28"/>
          <w:szCs w:val="28"/>
        </w:rPr>
        <w:t xml:space="preserve"> Г. А.)</w:t>
      </w:r>
      <w:r w:rsidR="00BE4AC7" w:rsidRPr="000530BE">
        <w:rPr>
          <w:sz w:val="28"/>
          <w:szCs w:val="28"/>
        </w:rPr>
        <w:t xml:space="preserve">, </w:t>
      </w:r>
      <w:r w:rsidR="00BE4AC7" w:rsidRPr="00BE4AC7">
        <w:rPr>
          <w:sz w:val="28"/>
          <w:szCs w:val="28"/>
        </w:rPr>
        <w:t>2Б  (</w:t>
      </w:r>
      <w:proofErr w:type="spellStart"/>
      <w:r w:rsidR="00BE4AC7" w:rsidRPr="00BE4AC7">
        <w:rPr>
          <w:sz w:val="28"/>
          <w:szCs w:val="28"/>
        </w:rPr>
        <w:t>Кинзябаева</w:t>
      </w:r>
      <w:proofErr w:type="spellEnd"/>
      <w:r w:rsidR="00BE4AC7" w:rsidRPr="00BE4AC7">
        <w:rPr>
          <w:sz w:val="28"/>
          <w:szCs w:val="28"/>
        </w:rPr>
        <w:t xml:space="preserve"> Г. Ш.)</w:t>
      </w:r>
      <w:r w:rsidR="00BE4AC7" w:rsidRPr="000530BE">
        <w:rPr>
          <w:sz w:val="28"/>
          <w:szCs w:val="28"/>
        </w:rPr>
        <w:t xml:space="preserve">, </w:t>
      </w:r>
      <w:r w:rsidR="00BE4AC7" w:rsidRPr="00BE4AC7">
        <w:rPr>
          <w:sz w:val="28"/>
          <w:szCs w:val="28"/>
        </w:rPr>
        <w:t>11А  (Самсоненко А. С.)</w:t>
      </w:r>
      <w:r w:rsidR="00BE4AC7" w:rsidRPr="000530BE">
        <w:rPr>
          <w:sz w:val="28"/>
          <w:szCs w:val="28"/>
        </w:rPr>
        <w:t xml:space="preserve"> </w:t>
      </w:r>
      <w:r w:rsidRPr="000530BE">
        <w:rPr>
          <w:sz w:val="28"/>
          <w:szCs w:val="28"/>
        </w:rPr>
        <w:t>класс</w:t>
      </w:r>
      <w:r w:rsidR="009E28EF" w:rsidRPr="000530BE">
        <w:rPr>
          <w:sz w:val="28"/>
          <w:szCs w:val="28"/>
        </w:rPr>
        <w:t>ы</w:t>
      </w:r>
      <w:r w:rsidRPr="000530BE">
        <w:rPr>
          <w:sz w:val="28"/>
          <w:szCs w:val="28"/>
        </w:rPr>
        <w:t xml:space="preserve">. Самые низкие результаты: </w:t>
      </w:r>
      <w:r w:rsidR="00BE4AC7" w:rsidRPr="000530BE">
        <w:rPr>
          <w:sz w:val="28"/>
          <w:szCs w:val="28"/>
        </w:rPr>
        <w:t>5А  (Кирюшина Е. П.), 8А  (</w:t>
      </w:r>
      <w:proofErr w:type="spellStart"/>
      <w:r w:rsidR="00BE4AC7" w:rsidRPr="000530BE">
        <w:rPr>
          <w:sz w:val="28"/>
          <w:szCs w:val="28"/>
        </w:rPr>
        <w:t>Валишина</w:t>
      </w:r>
      <w:proofErr w:type="spellEnd"/>
      <w:r w:rsidR="00BE4AC7" w:rsidRPr="000530BE">
        <w:rPr>
          <w:sz w:val="28"/>
          <w:szCs w:val="28"/>
        </w:rPr>
        <w:t xml:space="preserve"> З. Ю.), 9В  (Бычкова Т. А.), 9Б  (</w:t>
      </w:r>
      <w:proofErr w:type="spellStart"/>
      <w:r w:rsidR="00BE4AC7" w:rsidRPr="000530BE">
        <w:rPr>
          <w:sz w:val="28"/>
          <w:szCs w:val="28"/>
        </w:rPr>
        <w:t>Кульбаева</w:t>
      </w:r>
      <w:proofErr w:type="spellEnd"/>
      <w:r w:rsidR="00BE4AC7" w:rsidRPr="000530BE">
        <w:rPr>
          <w:sz w:val="28"/>
          <w:szCs w:val="28"/>
        </w:rPr>
        <w:t xml:space="preserve"> А. М.)</w:t>
      </w:r>
      <w:r w:rsidR="00BE4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(ниже 20%). </w:t>
      </w:r>
      <w:r w:rsidR="009E28EF">
        <w:rPr>
          <w:sz w:val="28"/>
          <w:szCs w:val="28"/>
        </w:rPr>
        <w:t xml:space="preserve">Всего неуспевающими по итогам </w:t>
      </w:r>
      <w:r w:rsidR="00BE4AC7">
        <w:rPr>
          <w:sz w:val="28"/>
          <w:szCs w:val="28"/>
        </w:rPr>
        <w:t>3</w:t>
      </w:r>
      <w:r w:rsidR="009E28EF">
        <w:rPr>
          <w:sz w:val="28"/>
          <w:szCs w:val="28"/>
        </w:rPr>
        <w:t xml:space="preserve">-й четверти являются </w:t>
      </w:r>
      <w:r w:rsidR="00BE4AC7">
        <w:rPr>
          <w:sz w:val="28"/>
          <w:szCs w:val="28"/>
        </w:rPr>
        <w:t>34</w:t>
      </w:r>
      <w:r>
        <w:rPr>
          <w:sz w:val="28"/>
          <w:szCs w:val="28"/>
        </w:rPr>
        <w:t xml:space="preserve"> обучающийся </w:t>
      </w:r>
      <w:r>
        <w:rPr>
          <w:rStyle w:val="a7"/>
          <w:i w:val="0"/>
          <w:sz w:val="28"/>
          <w:szCs w:val="28"/>
          <w:u w:val="none"/>
        </w:rPr>
        <w:t xml:space="preserve">– </w:t>
      </w:r>
      <w:r w:rsidR="00BE4AC7">
        <w:rPr>
          <w:rStyle w:val="a7"/>
          <w:b w:val="0"/>
          <w:i w:val="0"/>
          <w:sz w:val="28"/>
          <w:szCs w:val="28"/>
          <w:u w:val="none"/>
        </w:rPr>
        <w:t>5,4</w:t>
      </w:r>
      <w:r w:rsidR="009E28EF">
        <w:rPr>
          <w:rStyle w:val="a7"/>
          <w:b w:val="0"/>
          <w:i w:val="0"/>
          <w:sz w:val="28"/>
          <w:szCs w:val="28"/>
          <w:u w:val="none"/>
        </w:rPr>
        <w:t>%, из них 12</w:t>
      </w:r>
      <w:r>
        <w:rPr>
          <w:rStyle w:val="a7"/>
          <w:b w:val="0"/>
          <w:i w:val="0"/>
          <w:sz w:val="28"/>
          <w:szCs w:val="28"/>
          <w:u w:val="none"/>
        </w:rPr>
        <w:t xml:space="preserve"> обучающегося имеют </w:t>
      </w:r>
      <w:r w:rsidR="009E28EF">
        <w:rPr>
          <w:rStyle w:val="a7"/>
          <w:b w:val="0"/>
          <w:i w:val="0"/>
          <w:sz w:val="28"/>
          <w:szCs w:val="28"/>
          <w:u w:val="none"/>
        </w:rPr>
        <w:t xml:space="preserve">более чем по </w:t>
      </w:r>
      <w:proofErr w:type="gramStart"/>
      <w:r w:rsidR="009E28EF">
        <w:rPr>
          <w:rStyle w:val="a7"/>
          <w:b w:val="0"/>
          <w:i w:val="0"/>
          <w:sz w:val="28"/>
          <w:szCs w:val="28"/>
          <w:u w:val="none"/>
        </w:rPr>
        <w:t xml:space="preserve">2 </w:t>
      </w:r>
      <w:r>
        <w:rPr>
          <w:rStyle w:val="a7"/>
          <w:b w:val="0"/>
          <w:i w:val="0"/>
          <w:sz w:val="28"/>
          <w:szCs w:val="28"/>
          <w:u w:val="none"/>
        </w:rPr>
        <w:t xml:space="preserve"> двойк</w:t>
      </w:r>
      <w:r w:rsidR="009E28EF">
        <w:rPr>
          <w:rStyle w:val="a7"/>
          <w:b w:val="0"/>
          <w:i w:val="0"/>
          <w:sz w:val="28"/>
          <w:szCs w:val="28"/>
          <w:u w:val="none"/>
        </w:rPr>
        <w:t>ам</w:t>
      </w:r>
      <w:proofErr w:type="gramEnd"/>
      <w:r>
        <w:rPr>
          <w:rStyle w:val="a7"/>
          <w:b w:val="0"/>
          <w:i w:val="0"/>
          <w:sz w:val="28"/>
          <w:szCs w:val="28"/>
          <w:u w:val="none"/>
        </w:rPr>
        <w:t>. Больше всего неудовлетворительных результатов получили по геометрии (</w:t>
      </w:r>
      <w:r w:rsidR="00A62D71">
        <w:rPr>
          <w:rStyle w:val="a7"/>
          <w:b w:val="0"/>
          <w:i w:val="0"/>
          <w:sz w:val="28"/>
          <w:szCs w:val="28"/>
          <w:u w:val="none"/>
        </w:rPr>
        <w:t>1</w:t>
      </w:r>
      <w:r w:rsidR="004F0567">
        <w:rPr>
          <w:rStyle w:val="a7"/>
          <w:b w:val="0"/>
          <w:i w:val="0"/>
          <w:sz w:val="28"/>
          <w:szCs w:val="28"/>
          <w:u w:val="none"/>
        </w:rPr>
        <w:t>8</w:t>
      </w:r>
      <w:r>
        <w:rPr>
          <w:rStyle w:val="a7"/>
          <w:b w:val="0"/>
          <w:i w:val="0"/>
          <w:sz w:val="28"/>
          <w:szCs w:val="28"/>
          <w:u w:val="none"/>
        </w:rPr>
        <w:t xml:space="preserve"> двоек), алгебре (</w:t>
      </w:r>
      <w:r w:rsidR="00A62D71">
        <w:rPr>
          <w:rStyle w:val="a7"/>
          <w:b w:val="0"/>
          <w:i w:val="0"/>
          <w:sz w:val="28"/>
          <w:szCs w:val="28"/>
          <w:u w:val="none"/>
        </w:rPr>
        <w:t>12</w:t>
      </w:r>
      <w:r>
        <w:rPr>
          <w:rStyle w:val="a7"/>
          <w:b w:val="0"/>
          <w:i w:val="0"/>
          <w:sz w:val="28"/>
          <w:szCs w:val="28"/>
          <w:u w:val="none"/>
        </w:rPr>
        <w:t>)</w:t>
      </w:r>
      <w:r w:rsidR="00A62D71">
        <w:rPr>
          <w:rStyle w:val="a7"/>
          <w:b w:val="0"/>
          <w:i w:val="0"/>
          <w:sz w:val="28"/>
          <w:szCs w:val="28"/>
          <w:u w:val="none"/>
        </w:rPr>
        <w:t>, вероятность и статистика (</w:t>
      </w:r>
      <w:r w:rsidR="004F0567">
        <w:rPr>
          <w:rStyle w:val="a7"/>
          <w:b w:val="0"/>
          <w:i w:val="0"/>
          <w:sz w:val="28"/>
          <w:szCs w:val="28"/>
          <w:u w:val="none"/>
        </w:rPr>
        <w:t>1</w:t>
      </w:r>
      <w:r w:rsidR="00A62D71">
        <w:rPr>
          <w:rStyle w:val="a7"/>
          <w:b w:val="0"/>
          <w:i w:val="0"/>
          <w:sz w:val="28"/>
          <w:szCs w:val="28"/>
          <w:u w:val="none"/>
        </w:rPr>
        <w:t>)</w:t>
      </w:r>
      <w:r>
        <w:rPr>
          <w:rStyle w:val="a7"/>
          <w:b w:val="0"/>
          <w:i w:val="0"/>
          <w:sz w:val="28"/>
          <w:szCs w:val="28"/>
          <w:u w:val="none"/>
        </w:rPr>
        <w:t xml:space="preserve"> и русскому языку (</w:t>
      </w:r>
      <w:r w:rsidR="004F0567">
        <w:rPr>
          <w:rStyle w:val="a7"/>
          <w:b w:val="0"/>
          <w:i w:val="0"/>
          <w:sz w:val="28"/>
          <w:szCs w:val="28"/>
          <w:u w:val="none"/>
        </w:rPr>
        <w:t>8</w:t>
      </w:r>
      <w:r w:rsidR="00A62D71">
        <w:rPr>
          <w:rStyle w:val="a7"/>
          <w:b w:val="0"/>
          <w:i w:val="0"/>
          <w:sz w:val="28"/>
          <w:szCs w:val="28"/>
          <w:u w:val="none"/>
        </w:rPr>
        <w:t xml:space="preserve"> </w:t>
      </w:r>
      <w:r>
        <w:rPr>
          <w:rStyle w:val="a7"/>
          <w:b w:val="0"/>
          <w:i w:val="0"/>
          <w:sz w:val="28"/>
          <w:szCs w:val="28"/>
          <w:u w:val="none"/>
        </w:rPr>
        <w:t>двоек)</w:t>
      </w:r>
      <w:r w:rsidR="004F0567">
        <w:rPr>
          <w:rStyle w:val="a7"/>
          <w:b w:val="0"/>
          <w:i w:val="0"/>
          <w:sz w:val="28"/>
          <w:szCs w:val="28"/>
          <w:u w:val="none"/>
        </w:rPr>
        <w:t>, литературе (5), химии (2). Не аттестован</w:t>
      </w:r>
      <w:r>
        <w:rPr>
          <w:rStyle w:val="a7"/>
          <w:b w:val="0"/>
          <w:i w:val="0"/>
          <w:sz w:val="28"/>
          <w:szCs w:val="28"/>
          <w:u w:val="none"/>
        </w:rPr>
        <w:t xml:space="preserve"> </w:t>
      </w:r>
      <w:r w:rsidR="004F0567">
        <w:rPr>
          <w:rStyle w:val="a7"/>
          <w:b w:val="0"/>
          <w:i w:val="0"/>
          <w:sz w:val="28"/>
          <w:szCs w:val="28"/>
          <w:u w:val="none"/>
        </w:rPr>
        <w:t>1 обучающий</w:t>
      </w:r>
      <w:r>
        <w:rPr>
          <w:rStyle w:val="a7"/>
          <w:b w:val="0"/>
          <w:i w:val="0"/>
          <w:sz w:val="28"/>
          <w:szCs w:val="28"/>
          <w:u w:val="none"/>
        </w:rPr>
        <w:t>ся.</w:t>
      </w:r>
      <w:r>
        <w:rPr>
          <w:sz w:val="28"/>
          <w:szCs w:val="28"/>
        </w:rPr>
        <w:t xml:space="preserve"> </w:t>
      </w:r>
    </w:p>
    <w:p w:rsidR="001B522E" w:rsidRDefault="004F0567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 w:rsidRPr="004F0567">
        <w:rPr>
          <w:noProof/>
          <w:sz w:val="28"/>
          <w:szCs w:val="28"/>
        </w:rPr>
        <w:lastRenderedPageBreak/>
        <w:drawing>
          <wp:inline distT="0" distB="0" distL="0" distR="0">
            <wp:extent cx="546735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30BE" w:rsidRDefault="000530B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</w:p>
    <w:p w:rsidR="000530BE" w:rsidRDefault="000530BE" w:rsidP="000530B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>Сравнивая показатели успеваемости обучения 3 четверти 2023-2024 учебного года с предыдущими показателями, можно сделать выводы о повышении до 94,6%</w:t>
      </w:r>
    </w:p>
    <w:p w:rsidR="000530BE" w:rsidRDefault="000530B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</w:p>
    <w:p w:rsidR="00A62D71" w:rsidRDefault="00A62D71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</w:p>
    <w:p w:rsidR="001B522E" w:rsidRDefault="000530B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 w:rsidRPr="000530BE">
        <w:rPr>
          <w:noProof/>
          <w:sz w:val="28"/>
          <w:szCs w:val="28"/>
        </w:rPr>
        <w:drawing>
          <wp:inline distT="0" distB="0" distL="0" distR="0">
            <wp:extent cx="5543551" cy="2743200"/>
            <wp:effectExtent l="19050" t="0" r="190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2D71" w:rsidRDefault="00A62D71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</w:p>
    <w:p w:rsidR="001B522E" w:rsidRDefault="001B522E" w:rsidP="001B522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показатели </w:t>
      </w:r>
      <w:r w:rsidR="000530BE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обучения </w:t>
      </w:r>
      <w:r w:rsidR="000530BE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 2023-2024 учебного года</w:t>
      </w:r>
      <w:r w:rsidR="000530BE">
        <w:rPr>
          <w:sz w:val="28"/>
          <w:szCs w:val="28"/>
        </w:rPr>
        <w:t xml:space="preserve"> с предыдущими показателями</w:t>
      </w:r>
      <w:r>
        <w:rPr>
          <w:sz w:val="28"/>
          <w:szCs w:val="28"/>
        </w:rPr>
        <w:t xml:space="preserve">, можно сделать выводы о повышении до </w:t>
      </w:r>
      <w:r w:rsidR="000530BE">
        <w:rPr>
          <w:sz w:val="28"/>
          <w:szCs w:val="28"/>
        </w:rPr>
        <w:t>48,65</w:t>
      </w:r>
      <w:r>
        <w:rPr>
          <w:sz w:val="28"/>
          <w:szCs w:val="28"/>
        </w:rPr>
        <w:t>%</w:t>
      </w:r>
    </w:p>
    <w:p w:rsidR="00092D8B" w:rsidRDefault="00092D8B">
      <w:pPr>
        <w:rPr>
          <w:sz w:val="28"/>
          <w:szCs w:val="28"/>
        </w:rPr>
      </w:pPr>
    </w:p>
    <w:p w:rsidR="001B522E" w:rsidRDefault="00A73AA7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результаты </w:t>
      </w:r>
      <w:r w:rsidR="000530BE">
        <w:rPr>
          <w:sz w:val="28"/>
          <w:szCs w:val="28"/>
        </w:rPr>
        <w:t>качества обучения</w:t>
      </w:r>
      <w:r>
        <w:rPr>
          <w:sz w:val="28"/>
          <w:szCs w:val="28"/>
        </w:rPr>
        <w:t xml:space="preserve"> за </w:t>
      </w:r>
      <w:r w:rsidR="000530BE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четверть 202</w:t>
      </w:r>
      <w:r w:rsidR="001B522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B522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и </w:t>
      </w:r>
      <w:r w:rsidR="000530B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четверть  202</w:t>
      </w:r>
      <w:r w:rsidR="001B522E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>-202</w:t>
      </w:r>
      <w:r w:rsidR="001B522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по уровням образования, можно сделать вывод </w:t>
      </w:r>
      <w:r w:rsidR="001B522E">
        <w:rPr>
          <w:sz w:val="28"/>
          <w:szCs w:val="28"/>
        </w:rPr>
        <w:t>повышении показателей успеваемости по всех классах.</w:t>
      </w:r>
      <w:r>
        <w:rPr>
          <w:sz w:val="28"/>
          <w:szCs w:val="28"/>
        </w:rPr>
        <w:t xml:space="preserve"> </w:t>
      </w:r>
    </w:p>
    <w:p w:rsidR="0026764A" w:rsidRDefault="0026764A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учителей:</w:t>
      </w:r>
    </w:p>
    <w:p w:rsidR="001B522E" w:rsidRDefault="0026764A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A200F5F">
            <wp:extent cx="5462270" cy="3462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64A" w:rsidRDefault="0026764A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32DD76">
            <wp:extent cx="5456555" cy="35299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64A" w:rsidRDefault="0026764A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D61272" wp14:editId="6B80653F">
            <wp:extent cx="4639310" cy="30384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764A" w:rsidRDefault="0026764A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bookmarkStart w:id="1" w:name="_GoBack"/>
      <w:r>
        <w:rPr>
          <w:noProof/>
        </w:rPr>
        <w:drawing>
          <wp:inline distT="0" distB="0" distL="0" distR="0" wp14:anchorId="3217E7F6" wp14:editId="2CE627BC">
            <wp:extent cx="5459043" cy="3515400"/>
            <wp:effectExtent l="0" t="0" r="889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1"/>
    </w:p>
    <w:p w:rsidR="0026764A" w:rsidRDefault="0026764A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5EFA47">
            <wp:extent cx="5052695" cy="31977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493" cy="3200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64A" w:rsidRDefault="0026764A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630C7C5">
            <wp:extent cx="4476750" cy="28831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590" cy="2885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D8B" w:rsidRDefault="00A73AA7" w:rsidP="001B52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в течение </w:t>
      </w:r>
      <w:r w:rsidR="001B522E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четверти необходимо работать в контакте с 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092D8B" w:rsidRDefault="00A73AA7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2D8B" w:rsidRDefault="00A73AA7">
      <w:pPr>
        <w:pStyle w:val="24"/>
        <w:shd w:val="clear" w:color="auto" w:fill="auto"/>
        <w:tabs>
          <w:tab w:val="left" w:pos="413"/>
        </w:tabs>
        <w:spacing w:line="240" w:lineRule="auto"/>
        <w:ind w:left="1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Неудовлетворительные оценки выставлены в основном потому, что учащиеся к урокам не готовятся, на уроках являются пассивными наблюдателями, не проявляют заинтересованности в получении и оценивании знаний, письменные проверочные работы не выполняют, на дополнительные индивидуальные занятия после уроков не остаются, а также результат того, что обучающиеся дома не читают учебники  и не выполняют домашние задания, что приводит к полному отсутствию усвоения материала, нежеланием детей изучать предмет.</w:t>
      </w:r>
    </w:p>
    <w:p w:rsidR="00092D8B" w:rsidRDefault="00092D8B">
      <w:pPr>
        <w:pStyle w:val="33"/>
        <w:shd w:val="clear" w:color="auto" w:fill="auto"/>
        <w:spacing w:line="240" w:lineRule="auto"/>
        <w:ind w:left="120"/>
        <w:rPr>
          <w:rStyle w:val="32"/>
          <w:b/>
          <w:bCs/>
          <w:i/>
          <w:iCs/>
          <w:sz w:val="28"/>
          <w:szCs w:val="28"/>
        </w:rPr>
      </w:pPr>
    </w:p>
    <w:p w:rsidR="00092D8B" w:rsidRDefault="00A73AA7">
      <w:pPr>
        <w:pStyle w:val="33"/>
        <w:shd w:val="clear" w:color="auto" w:fill="auto"/>
        <w:spacing w:line="240" w:lineRule="auto"/>
        <w:ind w:left="120"/>
        <w:rPr>
          <w:rStyle w:val="32"/>
          <w:bCs/>
          <w:iCs/>
          <w:sz w:val="28"/>
          <w:szCs w:val="28"/>
          <w:u w:val="none"/>
        </w:rPr>
      </w:pPr>
      <w:r>
        <w:rPr>
          <w:rStyle w:val="32"/>
          <w:b/>
          <w:bCs/>
          <w:iCs/>
          <w:sz w:val="28"/>
          <w:szCs w:val="28"/>
          <w:u w:val="none"/>
        </w:rPr>
        <w:t>На основании вышеизложенного рекомендуется:</w:t>
      </w:r>
    </w:p>
    <w:p w:rsidR="00092D8B" w:rsidRDefault="00092D8B">
      <w:pPr>
        <w:pStyle w:val="33"/>
        <w:shd w:val="clear" w:color="auto" w:fill="auto"/>
        <w:spacing w:line="240" w:lineRule="auto"/>
        <w:ind w:left="120"/>
        <w:rPr>
          <w:sz w:val="28"/>
          <w:szCs w:val="28"/>
        </w:rPr>
      </w:pPr>
    </w:p>
    <w:p w:rsidR="00092D8B" w:rsidRDefault="00A73AA7">
      <w:pPr>
        <w:pStyle w:val="24"/>
        <w:numPr>
          <w:ilvl w:val="0"/>
          <w:numId w:val="1"/>
        </w:numPr>
        <w:tabs>
          <w:tab w:val="left" w:pos="284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ШМО проанализировать результаты </w:t>
      </w:r>
      <w:r w:rsidR="000530BE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четверти, определить     способы, приемы и методы, способствующие повышению качества знаний по предметам, имеющих отрицательную динамику.</w:t>
      </w:r>
    </w:p>
    <w:p w:rsidR="00092D8B" w:rsidRDefault="00A73AA7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руководителям, учителям-предметникам взять на контроль результаты учащихся, находящихся в резерве «хорошистов», «отличники»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092D8B" w:rsidRDefault="00A73AA7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- предметникам  не только фиксировать факты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учащихся, но и развивать интерес к своему предмету, создавать на уроке атмосферу сотрудничества с «трудными» детьми, оказывать помощь ученикам, имеющим по тем или иным причинам пробелы в знаниях;</w:t>
      </w:r>
    </w:p>
    <w:p w:rsidR="00092D8B" w:rsidRDefault="00A73AA7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в </w:t>
      </w:r>
      <w:r w:rsidR="000530BE">
        <w:rPr>
          <w:sz w:val="28"/>
          <w:szCs w:val="28"/>
        </w:rPr>
        <w:t>4</w:t>
      </w:r>
      <w:r>
        <w:rPr>
          <w:sz w:val="28"/>
          <w:szCs w:val="28"/>
        </w:rPr>
        <w:t xml:space="preserve"> четверти по ликвидации пробелов в знаниях каждого ученика, отражать индивидуальную работу с неуспевающими детьми в конспектах уроков. </w:t>
      </w:r>
    </w:p>
    <w:p w:rsidR="00092D8B" w:rsidRDefault="00092D8B">
      <w:pPr>
        <w:pStyle w:val="24"/>
        <w:shd w:val="clear" w:color="auto" w:fill="auto"/>
        <w:tabs>
          <w:tab w:val="left" w:pos="6489"/>
        </w:tabs>
        <w:spacing w:line="240" w:lineRule="auto"/>
        <w:ind w:left="120" w:firstLine="700"/>
        <w:jc w:val="both"/>
        <w:rPr>
          <w:sz w:val="28"/>
          <w:szCs w:val="28"/>
        </w:rPr>
      </w:pPr>
    </w:p>
    <w:p w:rsidR="00092D8B" w:rsidRDefault="00A73AA7">
      <w:pPr>
        <w:pStyle w:val="2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УВР:                                            </w:t>
      </w:r>
      <w:proofErr w:type="spellStart"/>
      <w:r>
        <w:rPr>
          <w:sz w:val="28"/>
          <w:szCs w:val="28"/>
        </w:rPr>
        <w:t>Каржанина</w:t>
      </w:r>
      <w:proofErr w:type="spellEnd"/>
      <w:r>
        <w:rPr>
          <w:sz w:val="28"/>
          <w:szCs w:val="28"/>
        </w:rPr>
        <w:t xml:space="preserve"> О.В.</w:t>
      </w:r>
    </w:p>
    <w:sectPr w:rsidR="00092D8B" w:rsidSect="00A16C0B">
      <w:pgSz w:w="11906" w:h="16838"/>
      <w:pgMar w:top="568" w:right="936" w:bottom="748" w:left="9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E9F"/>
    <w:multiLevelType w:val="multilevel"/>
    <w:tmpl w:val="3C3C3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500ACD"/>
    <w:multiLevelType w:val="multilevel"/>
    <w:tmpl w:val="0CF460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092D8B"/>
    <w:rsid w:val="000530BE"/>
    <w:rsid w:val="00092D8B"/>
    <w:rsid w:val="001B522E"/>
    <w:rsid w:val="0026764A"/>
    <w:rsid w:val="004F0567"/>
    <w:rsid w:val="00777E1E"/>
    <w:rsid w:val="009E28EF"/>
    <w:rsid w:val="00A16C0B"/>
    <w:rsid w:val="00A62D71"/>
    <w:rsid w:val="00A73AA7"/>
    <w:rsid w:val="00BE4AC7"/>
    <w:rsid w:val="00F8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EF57"/>
  <w15:docId w15:val="{F4C5930D-0601-4F93-A715-2AC18C3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F4"/>
    <w:pPr>
      <w:widowControl w:val="0"/>
    </w:pPr>
    <w:rPr>
      <w:color w:val="000000"/>
    </w:rPr>
  </w:style>
  <w:style w:type="paragraph" w:styleId="2">
    <w:name w:val="heading 2"/>
    <w:basedOn w:val="a"/>
    <w:next w:val="a"/>
    <w:uiPriority w:val="9"/>
    <w:unhideWhenUsed/>
    <w:qFormat/>
    <w:rsid w:val="001A29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qFormat/>
    <w:rsid w:val="002D65F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a3">
    <w:name w:val="Основной текст_"/>
    <w:basedOn w:val="a0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qFormat/>
    <w:rsid w:val="002D65F4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3"/>
    <w:qFormat/>
    <w:rsid w:val="002D65F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qFormat/>
    <w:rsid w:val="002D65F4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4">
    <w:name w:val="Колонтитул_"/>
    <w:basedOn w:val="a0"/>
    <w:qFormat/>
    <w:rsid w:val="002D65F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5">
    <w:name w:val="Колонтитул"/>
    <w:basedOn w:val="a4"/>
    <w:qFormat/>
    <w:rsid w:val="002D65F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1">
    <w:name w:val="Основной текст1"/>
    <w:basedOn w:val="a3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7">
    <w:name w:val="Подпись к таблице"/>
    <w:basedOn w:val="a6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2">
    <w:name w:val="Основной текст (3)"/>
    <w:basedOn w:val="31"/>
    <w:link w:val="31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a8">
    <w:name w:val="Верхний колонтитул Знак"/>
    <w:basedOn w:val="a0"/>
    <w:uiPriority w:val="99"/>
    <w:semiHidden/>
    <w:qFormat/>
    <w:rsid w:val="00761D6F"/>
    <w:rPr>
      <w:color w:val="000000"/>
    </w:rPr>
  </w:style>
  <w:style w:type="character" w:customStyle="1" w:styleId="a9">
    <w:name w:val="Нижний колонтитул Знак"/>
    <w:basedOn w:val="a0"/>
    <w:uiPriority w:val="99"/>
    <w:semiHidden/>
    <w:qFormat/>
    <w:rsid w:val="00761D6F"/>
    <w:rPr>
      <w:color w:val="000000"/>
    </w:rPr>
  </w:style>
  <w:style w:type="character" w:customStyle="1" w:styleId="aa">
    <w:name w:val="Текст выноски Знак"/>
    <w:basedOn w:val="a0"/>
    <w:uiPriority w:val="99"/>
    <w:semiHidden/>
    <w:qFormat/>
    <w:rsid w:val="00A730FF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qFormat/>
    <w:rsid w:val="001A2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c"/>
    <w:qFormat/>
    <w:rsid w:val="00A16C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A16C0B"/>
    <w:pPr>
      <w:spacing w:after="140" w:line="276" w:lineRule="auto"/>
    </w:pPr>
  </w:style>
  <w:style w:type="paragraph" w:styleId="ad">
    <w:name w:val="List"/>
    <w:basedOn w:val="ac"/>
    <w:rsid w:val="00A16C0B"/>
    <w:rPr>
      <w:rFonts w:ascii="PT Astra Serif" w:hAnsi="PT Astra Serif" w:cs="Noto Sans Devanagari"/>
    </w:rPr>
  </w:style>
  <w:style w:type="paragraph" w:styleId="ae">
    <w:name w:val="caption"/>
    <w:basedOn w:val="a"/>
    <w:qFormat/>
    <w:rsid w:val="00A16C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rsid w:val="00A16C0B"/>
    <w:pPr>
      <w:suppressLineNumbers/>
    </w:pPr>
    <w:rPr>
      <w:rFonts w:ascii="PT Astra Serif" w:hAnsi="PT Astra Serif" w:cs="Noto Sans Devanagari"/>
    </w:rPr>
  </w:style>
  <w:style w:type="paragraph" w:customStyle="1" w:styleId="24">
    <w:name w:val="Основной текст2"/>
    <w:basedOn w:val="a"/>
    <w:link w:val="25"/>
    <w:qFormat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qFormat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qFormat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5">
    <w:name w:val="Подпись к таблице (2)"/>
    <w:basedOn w:val="a"/>
    <w:link w:val="24"/>
    <w:qFormat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f0">
    <w:name w:val="Колонтитул"/>
    <w:basedOn w:val="a"/>
    <w:qFormat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f1">
    <w:name w:val="Подпись к таблице"/>
    <w:basedOn w:val="a"/>
    <w:qFormat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qFormat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qFormat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2">
    <w:name w:val="Верхний и нижний колонтитулы"/>
    <w:basedOn w:val="a"/>
    <w:qFormat/>
    <w:rsid w:val="00A16C0B"/>
  </w:style>
  <w:style w:type="paragraph" w:styleId="af3">
    <w:name w:val="header"/>
    <w:basedOn w:val="a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A730FF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qFormat/>
    <w:rsid w:val="00E96F6E"/>
    <w:pPr>
      <w:suppressLineNumbers/>
    </w:pPr>
    <w:rPr>
      <w:rFonts w:ascii="Arial" w:eastAsia="DejaVu Sans" w:hAnsi="Arial" w:cs="Times New Roman"/>
      <w:color w:val="auto"/>
      <w:kern w:val="2"/>
      <w:sz w:val="20"/>
    </w:rPr>
  </w:style>
  <w:style w:type="paragraph" w:styleId="af7">
    <w:name w:val="No Spacing"/>
    <w:uiPriority w:val="1"/>
    <w:qFormat/>
    <w:rsid w:val="0023300C"/>
    <w:rPr>
      <w:rFonts w:ascii="Calibri" w:eastAsia="Times New Roman" w:hAnsi="Calibri" w:cs="Times New Roman"/>
      <w:sz w:val="22"/>
      <w:szCs w:val="22"/>
    </w:rPr>
  </w:style>
  <w:style w:type="paragraph" w:styleId="af8">
    <w:name w:val="Normal (Web)"/>
    <w:basedOn w:val="a"/>
    <w:uiPriority w:val="99"/>
    <w:unhideWhenUsed/>
    <w:qFormat/>
    <w:rsid w:val="005158BB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9">
    <w:name w:val="Заголовок таблицы"/>
    <w:basedOn w:val="af6"/>
    <w:qFormat/>
    <w:rsid w:val="00A16C0B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433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62;\Documents\&#1076;&#1080;&#1072;&#1075;&#1088;&#1072;&#1084;&#1084;&#1099;\&#1043;&#1088;&#1072;&#1092;&#1080;&#1082;&#1080;,%20&#1089;&#1088;&#1072;&#1074;&#1085;&#1077;&#1085;&#1080;&#1077;%202022-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62;\Documents\&#1076;&#1080;&#1072;&#1075;&#1088;&#1072;&#1084;&#1084;&#1099;\&#1043;&#1088;&#1072;&#1092;&#1080;&#1082;&#1080;,%20&#1089;&#1088;&#1072;&#1074;&#1085;&#1077;&#1085;&#1080;&#1077;%202022-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54;&#1050;&#1059;&#1052;&#1045;&#1053;&#1058;&#1040;&#1062;&#1048;&#1071;\&#1086;&#1090;&#1095;&#1077;&#1090;&#1099;\2023-2024\3%20&#1095;&#1077;&#1090;\&#1043;&#1088;&#1072;&#1092;&#1080;&#1082;&#1080;,%20&#1089;&#1088;&#1072;&#1074;&#1085;&#1077;&#1085;&#1080;&#1077;%202023-2024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Успеваемость обучения за 3 четверть,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Сравнение!$L$2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Сравнение!$K$3:$K$6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Сравнение!$L$3:$L$6</c:f>
              <c:numCache>
                <c:formatCode>General</c:formatCode>
                <c:ptCount val="4"/>
                <c:pt idx="0">
                  <c:v>99.59</c:v>
                </c:pt>
                <c:pt idx="1">
                  <c:v>95.61</c:v>
                </c:pt>
                <c:pt idx="2">
                  <c:v>90.77</c:v>
                </c:pt>
                <c:pt idx="3">
                  <c:v>96.5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1-4DE2-9644-E7EF7EEE004B}"/>
            </c:ext>
          </c:extLst>
        </c:ser>
        <c:ser>
          <c:idx val="1"/>
          <c:order val="1"/>
          <c:tx>
            <c:strRef>
              <c:f>Сравнение!$M$2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Сравнение!$K$3:$K$6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Сравнение!$M$3:$M$6</c:f>
              <c:numCache>
                <c:formatCode>General</c:formatCode>
                <c:ptCount val="4"/>
                <c:pt idx="0">
                  <c:v>100</c:v>
                </c:pt>
                <c:pt idx="1">
                  <c:v>87.36</c:v>
                </c:pt>
                <c:pt idx="2">
                  <c:v>96.36</c:v>
                </c:pt>
                <c:pt idx="3">
                  <c:v>93.6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A1-4DE2-9644-E7EF7EEE004B}"/>
            </c:ext>
          </c:extLst>
        </c:ser>
        <c:ser>
          <c:idx val="2"/>
          <c:order val="2"/>
          <c:tx>
            <c:strRef>
              <c:f>Сравнение!$N$2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Сравнение!$K$3:$K$6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Сравнение!$N$3:$N$6</c:f>
              <c:numCache>
                <c:formatCode>General</c:formatCode>
                <c:ptCount val="4"/>
                <c:pt idx="0">
                  <c:v>100</c:v>
                </c:pt>
                <c:pt idx="1">
                  <c:v>89.6</c:v>
                </c:pt>
                <c:pt idx="2">
                  <c:v>95.1</c:v>
                </c:pt>
                <c:pt idx="3">
                  <c:v>93.9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A1-4DE2-9644-E7EF7EEE004B}"/>
            </c:ext>
          </c:extLst>
        </c:ser>
        <c:ser>
          <c:idx val="3"/>
          <c:order val="3"/>
          <c:tx>
            <c:strRef>
              <c:f>Сравнение!$O$2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Сравнение!$K$3:$K$6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Сравнение!$O$3:$O$6</c:f>
              <c:numCache>
                <c:formatCode>0.00</c:formatCode>
                <c:ptCount val="4"/>
                <c:pt idx="0" formatCode="General">
                  <c:v>100</c:v>
                </c:pt>
                <c:pt idx="1">
                  <c:v>90.449438202247194</c:v>
                </c:pt>
                <c:pt idx="2" formatCode="General">
                  <c:v>100</c:v>
                </c:pt>
                <c:pt idx="3" formatCode="General">
                  <c:v>94.6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A1-4DE2-9644-E7EF7EEE0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7084544"/>
        <c:axId val="77086080"/>
      </c:barChart>
      <c:catAx>
        <c:axId val="77084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086080"/>
        <c:crosses val="autoZero"/>
        <c:auto val="1"/>
        <c:lblAlgn val="ctr"/>
        <c:lblOffset val="100"/>
        <c:noMultiLvlLbl val="0"/>
      </c:catAx>
      <c:valAx>
        <c:axId val="77086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77084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обучения за 3 четверть,%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Сравнение!$K$24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Сравнение!$J$25:$J$28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Сравнение!$K$25:$K$28</c:f>
              <c:numCache>
                <c:formatCode>General</c:formatCode>
                <c:ptCount val="4"/>
                <c:pt idx="0">
                  <c:v>63.349999999999994</c:v>
                </c:pt>
                <c:pt idx="1">
                  <c:v>33.630000000000003</c:v>
                </c:pt>
                <c:pt idx="2">
                  <c:v>30.77</c:v>
                </c:pt>
                <c:pt idx="3">
                  <c:v>43.790000000000006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9F-4EA7-9269-3C99985E3D86}"/>
            </c:ext>
          </c:extLst>
        </c:ser>
        <c:ser>
          <c:idx val="1"/>
          <c:order val="1"/>
          <c:tx>
            <c:strRef>
              <c:f>Сравнение!$L$24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Сравнение!$J$25:$J$28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Сравнение!$L$25:$L$28</c:f>
              <c:numCache>
                <c:formatCode>General</c:formatCode>
                <c:ptCount val="4"/>
                <c:pt idx="0">
                  <c:v>59.11</c:v>
                </c:pt>
                <c:pt idx="1">
                  <c:v>28.2</c:v>
                </c:pt>
                <c:pt idx="2">
                  <c:v>55.4</c:v>
                </c:pt>
                <c:pt idx="3">
                  <c:v>41.5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9F-4EA7-9269-3C99985E3D86}"/>
            </c:ext>
          </c:extLst>
        </c:ser>
        <c:ser>
          <c:idx val="2"/>
          <c:order val="2"/>
          <c:tx>
            <c:strRef>
              <c:f>Сравнение!$M$24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Сравнение!$J$25:$J$28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Сравнение!$M$25:$M$28</c:f>
              <c:numCache>
                <c:formatCode>General</c:formatCode>
                <c:ptCount val="4"/>
                <c:pt idx="0">
                  <c:v>60.7</c:v>
                </c:pt>
                <c:pt idx="1">
                  <c:v>31.1</c:v>
                </c:pt>
                <c:pt idx="2">
                  <c:v>51.2</c:v>
                </c:pt>
                <c:pt idx="3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9F-4EA7-9269-3C99985E3D86}"/>
            </c:ext>
          </c:extLst>
        </c:ser>
        <c:ser>
          <c:idx val="3"/>
          <c:order val="3"/>
          <c:tx>
            <c:strRef>
              <c:f>Сравнение!$N$24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Сравнение!$J$25:$J$28</c:f>
              <c:strCache>
                <c:ptCount val="4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ОО</c:v>
                </c:pt>
              </c:strCache>
            </c:strRef>
          </c:cat>
          <c:val>
            <c:numRef>
              <c:f>Сравнение!$N$25:$N$28</c:f>
              <c:numCache>
                <c:formatCode>0.00</c:formatCode>
                <c:ptCount val="4"/>
                <c:pt idx="0">
                  <c:v>66.666666666666657</c:v>
                </c:pt>
                <c:pt idx="1">
                  <c:v>35.4</c:v>
                </c:pt>
                <c:pt idx="2">
                  <c:v>62.5</c:v>
                </c:pt>
                <c:pt idx="3">
                  <c:v>48.648648648648646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9F-4EA7-9269-3C99985E3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7773824"/>
        <c:axId val="77779712"/>
      </c:barChart>
      <c:catAx>
        <c:axId val="777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779712"/>
        <c:crosses val="autoZero"/>
        <c:auto val="1"/>
        <c:lblAlgn val="ctr"/>
        <c:lblOffset val="100"/>
        <c:noMultiLvlLbl val="0"/>
      </c:catAx>
      <c:valAx>
        <c:axId val="77779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77738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314004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'[Графики, сравнение 2023-2024.xlsx]по учителям, 3 четв'!$B$30:$B$37</c:f>
              <c:strCache>
                <c:ptCount val="8"/>
                <c:pt idx="0">
                  <c:v>Саитбаталова А.Б.</c:v>
                </c:pt>
                <c:pt idx="1">
                  <c:v>Есина А.Г.</c:v>
                </c:pt>
                <c:pt idx="2">
                  <c:v>Малютина М.П.</c:v>
                </c:pt>
                <c:pt idx="3">
                  <c:v>Каржанина О.В.</c:v>
                </c:pt>
                <c:pt idx="4">
                  <c:v>Закурдаева Е.В.</c:v>
                </c:pt>
                <c:pt idx="5">
                  <c:v>Яковлева Е.В.</c:v>
                </c:pt>
                <c:pt idx="6">
                  <c:v>Самсоненко А.С.</c:v>
                </c:pt>
                <c:pt idx="7">
                  <c:v>Гринько Н.А.</c:v>
                </c:pt>
              </c:strCache>
            </c:strRef>
          </c:cat>
          <c:val>
            <c:numRef>
              <c:f>'[Графики, сравнение 2023-2024.xlsx]по учителям, 3 четв'!$C$30:$C$37</c:f>
              <c:numCache>
                <c:formatCode>0.0</c:formatCode>
                <c:ptCount val="8"/>
                <c:pt idx="0" formatCode="General">
                  <c:v>100</c:v>
                </c:pt>
                <c:pt idx="1">
                  <c:v>99.270072992700733</c:v>
                </c:pt>
                <c:pt idx="2" formatCode="General">
                  <c:v>100</c:v>
                </c:pt>
                <c:pt idx="3" formatCode="General">
                  <c:v>100</c:v>
                </c:pt>
                <c:pt idx="4">
                  <c:v>99.42693409742121</c:v>
                </c:pt>
                <c:pt idx="5" formatCode="General">
                  <c:v>100</c:v>
                </c:pt>
                <c:pt idx="6" formatCode="General">
                  <c:v>100</c:v>
                </c:pt>
                <c:pt idx="7" formatCode="General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F7-480C-B2D4-2A305BE7AC99}"/>
            </c:ext>
          </c:extLst>
        </c:ser>
        <c:ser>
          <c:idx val="1"/>
          <c:order val="1"/>
          <c:spPr>
            <a:solidFill>
              <a:srgbClr val="AECF00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'[Графики, сравнение 2023-2024.xlsx]по учителям, 3 четв'!$B$30:$B$37</c:f>
              <c:strCache>
                <c:ptCount val="8"/>
                <c:pt idx="0">
                  <c:v>Саитбаталова А.Б.</c:v>
                </c:pt>
                <c:pt idx="1">
                  <c:v>Есина А.Г.</c:v>
                </c:pt>
                <c:pt idx="2">
                  <c:v>Малютина М.П.</c:v>
                </c:pt>
                <c:pt idx="3">
                  <c:v>Каржанина О.В.</c:v>
                </c:pt>
                <c:pt idx="4">
                  <c:v>Закурдаева Е.В.</c:v>
                </c:pt>
                <c:pt idx="5">
                  <c:v>Яковлева Е.В.</c:v>
                </c:pt>
                <c:pt idx="6">
                  <c:v>Самсоненко А.С.</c:v>
                </c:pt>
                <c:pt idx="7">
                  <c:v>Гринько Н.А.</c:v>
                </c:pt>
              </c:strCache>
            </c:strRef>
          </c:cat>
          <c:val>
            <c:numRef>
              <c:f>'[Графики, сравнение 2023-2024.xlsx]по учителям, 3 четв'!$D$30:$D$37</c:f>
              <c:numCache>
                <c:formatCode>0.0</c:formatCode>
                <c:ptCount val="8"/>
                <c:pt idx="0">
                  <c:v>90.234375</c:v>
                </c:pt>
                <c:pt idx="1">
                  <c:v>76.277372262773724</c:v>
                </c:pt>
                <c:pt idx="2">
                  <c:v>81.899109792284861</c:v>
                </c:pt>
                <c:pt idx="3">
                  <c:v>77</c:v>
                </c:pt>
                <c:pt idx="4">
                  <c:v>81.375358166189116</c:v>
                </c:pt>
                <c:pt idx="5">
                  <c:v>62.322946175637391</c:v>
                </c:pt>
                <c:pt idx="6">
                  <c:v>85.7</c:v>
                </c:pt>
                <c:pt idx="7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F7-480C-B2D4-2A305BE7A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4665216"/>
        <c:axId val="164666752"/>
      </c:barChart>
      <c:catAx>
        <c:axId val="16466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ru-RU"/>
          </a:p>
        </c:txPr>
        <c:crossAx val="164666752"/>
        <c:crosses val="autoZero"/>
        <c:auto val="1"/>
        <c:lblAlgn val="ctr"/>
        <c:lblOffset val="100"/>
        <c:noMultiLvlLbl val="0"/>
      </c:catAx>
      <c:valAx>
        <c:axId val="164666752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#,##0.00_р_.;\-#,##0.00_р_.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ru-RU"/>
          </a:p>
        </c:txPr>
        <c:crossAx val="164665216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plotVisOnly val="1"/>
    <c:dispBlanksAs val="gap"/>
    <c:showDLblsOverMax val="1"/>
  </c:chart>
  <c:spPr>
    <a:solidFill>
      <a:srgbClr val="FFFFFF"/>
    </a:solidFill>
    <a:ln w="0"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314004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'[Графики, сравнение 2023-2024.xlsx]по учителям, 3 четв'!$B$41:$B$46</c:f>
              <c:strCache>
                <c:ptCount val="6"/>
                <c:pt idx="0">
                  <c:v>Кульбаева А.М.</c:v>
                </c:pt>
                <c:pt idx="1">
                  <c:v>Шляхов А.Б.</c:v>
                </c:pt>
                <c:pt idx="2">
                  <c:v>Конева Е.М.</c:v>
                </c:pt>
                <c:pt idx="3">
                  <c:v>Табульдин А.Р.</c:v>
                </c:pt>
                <c:pt idx="4">
                  <c:v>Юлбаев И.И.</c:v>
                </c:pt>
                <c:pt idx="5">
                  <c:v>Бычкова Т.Н.</c:v>
                </c:pt>
              </c:strCache>
            </c:strRef>
          </c:cat>
          <c:val>
            <c:numRef>
              <c:f>'[Графики, сравнение 2023-2024.xlsx]по учителям, 3 четв'!$C$41:$C$46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D-44B0-AED2-AFF25401E435}"/>
            </c:ext>
          </c:extLst>
        </c:ser>
        <c:ser>
          <c:idx val="1"/>
          <c:order val="1"/>
          <c:spPr>
            <a:solidFill>
              <a:srgbClr val="AECF00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latin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'[Графики, сравнение 2023-2024.xlsx]по учителям, 3 четв'!$B$41:$B$46</c:f>
              <c:strCache>
                <c:ptCount val="6"/>
                <c:pt idx="0">
                  <c:v>Кульбаева А.М.</c:v>
                </c:pt>
                <c:pt idx="1">
                  <c:v>Шляхов А.Б.</c:v>
                </c:pt>
                <c:pt idx="2">
                  <c:v>Конева Е.М.</c:v>
                </c:pt>
                <c:pt idx="3">
                  <c:v>Табульдин А.Р.</c:v>
                </c:pt>
                <c:pt idx="4">
                  <c:v>Юлбаев И.И.</c:v>
                </c:pt>
                <c:pt idx="5">
                  <c:v>Бычкова Т.Н.</c:v>
                </c:pt>
              </c:strCache>
            </c:strRef>
          </c:cat>
          <c:val>
            <c:numRef>
              <c:f>'[Графики, сравнение 2023-2024.xlsx]по учителям, 3 четв'!$D$41:$D$46</c:f>
              <c:numCache>
                <c:formatCode>0.0</c:formatCode>
                <c:ptCount val="6"/>
                <c:pt idx="0">
                  <c:v>96.026490066225165</c:v>
                </c:pt>
                <c:pt idx="1">
                  <c:v>91.145833333333329</c:v>
                </c:pt>
                <c:pt idx="2">
                  <c:v>98.181818181818187</c:v>
                </c:pt>
                <c:pt idx="3" formatCode="General">
                  <c:v>100</c:v>
                </c:pt>
                <c:pt idx="4" formatCode="General">
                  <c:v>99.6</c:v>
                </c:pt>
                <c:pt idx="5" formatCode="General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4D-44B0-AED2-AFF25401E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4908416"/>
        <c:axId val="164910208"/>
      </c:barChart>
      <c:catAx>
        <c:axId val="164908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ru-RU"/>
          </a:p>
        </c:txPr>
        <c:crossAx val="164910208"/>
        <c:crosses val="autoZero"/>
        <c:auto val="1"/>
        <c:lblAlgn val="ctr"/>
        <c:lblOffset val="100"/>
        <c:noMultiLvlLbl val="0"/>
      </c:catAx>
      <c:valAx>
        <c:axId val="164910208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#,##0.00_р_.;\-#,##0.00_р_.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sz="1000" b="0" strike="noStrike" spc="-1">
                <a:latin typeface="Arial"/>
              </a:defRPr>
            </a:pPr>
            <a:endParaRPr lang="ru-RU"/>
          </a:p>
        </c:txPr>
        <c:crossAx val="164908416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latin typeface="Arial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0"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 Ю.Г.</dc:creator>
  <cp:lastModifiedBy>User</cp:lastModifiedBy>
  <cp:revision>4</cp:revision>
  <cp:lastPrinted>2022-04-07T08:43:00Z</cp:lastPrinted>
  <dcterms:created xsi:type="dcterms:W3CDTF">2024-03-26T21:20:00Z</dcterms:created>
  <dcterms:modified xsi:type="dcterms:W3CDTF">2024-03-27T04:46:00Z</dcterms:modified>
  <dc:language>ru-RU</dc:language>
</cp:coreProperties>
</file>